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CD" w:rsidRPr="007A19DA" w:rsidRDefault="009E07CD" w:rsidP="007A19DA">
      <w:pPr>
        <w:jc w:val="center"/>
        <w:rPr>
          <w:sz w:val="48"/>
          <w:szCs w:val="48"/>
        </w:rPr>
      </w:pPr>
      <w:r w:rsidRPr="007A19DA">
        <w:rPr>
          <w:sz w:val="48"/>
          <w:szCs w:val="48"/>
        </w:rPr>
        <w:t>Příloha II</w:t>
      </w:r>
      <w:r>
        <w:rPr>
          <w:sz w:val="48"/>
          <w:szCs w:val="48"/>
        </w:rPr>
        <w:t xml:space="preserve">   PNK 2019/779</w:t>
      </w:r>
    </w:p>
    <w:p w:rsidR="009E07CD" w:rsidRDefault="009E07CD">
      <w:r w:rsidRPr="007A19DA">
        <w:t>Požadavky a hodnotící kritéria pro organizace žádající o osvědčení subjektů odpovědných za údržbu nebo o osvědčení pro funkce údržby zadávané subjektem odpovědným za údržbu vnějšímu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0"/>
        <w:gridCol w:w="338"/>
        <w:gridCol w:w="396"/>
        <w:gridCol w:w="259"/>
        <w:gridCol w:w="6083"/>
        <w:gridCol w:w="4114"/>
        <w:gridCol w:w="3908"/>
      </w:tblGrid>
      <w:tr w:rsidR="009E07CD" w:rsidRPr="00EE69AF" w:rsidTr="00EE69AF">
        <w:tc>
          <w:tcPr>
            <w:tcW w:w="15388" w:type="dxa"/>
            <w:gridSpan w:val="7"/>
            <w:shd w:val="clear" w:color="auto" w:fill="FFD966"/>
          </w:tcPr>
          <w:p w:rsidR="009E07CD" w:rsidRPr="00EE69AF" w:rsidRDefault="009E07CD" w:rsidP="00EE69AF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 w:rsidRPr="00EE69AF">
              <w:rPr>
                <w:b/>
                <w:sz w:val="28"/>
              </w:rPr>
              <w:t>I. Požadavky a hodnotící kritéria pro řídicí funkci</w:t>
            </w:r>
            <w:r w:rsidR="00CA70A3">
              <w:rPr>
                <w:b/>
                <w:sz w:val="28"/>
              </w:rPr>
              <w:t xml:space="preserve">  (ECM F1)</w:t>
            </w:r>
          </w:p>
        </w:tc>
      </w:tr>
      <w:tr w:rsidR="009E07CD" w:rsidRPr="00EE69AF" w:rsidTr="00EE69AF">
        <w:tc>
          <w:tcPr>
            <w:tcW w:w="1283" w:type="dxa"/>
            <w:gridSpan w:val="4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08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114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908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290" w:type="dxa"/>
            <w:tcBorders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9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  <w:u w:val="single"/>
              </w:rPr>
              <w:t>Vedení</w:t>
            </w:r>
            <w:r w:rsidRPr="00EE69AF">
              <w:rPr>
                <w:b/>
              </w:rPr>
              <w:t xml:space="preserve"> – </w:t>
            </w:r>
            <w:r w:rsidRPr="00EE69AF">
              <w:rPr>
                <w:b/>
                <w:i/>
              </w:rPr>
              <w:t>závazek k rozvoji a provádění systému údržby organizace a k neustálému zlepšování jeho účinnosti.</w:t>
            </w:r>
          </w:p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t>Organizace musí mít postupy pro: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zavedení politiky údržby vhodné pro typ dané organizace a rozsah služeb, schválené výkonným ředitelem organizace nebo jeho zástupcem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budou stanoveny bezpečnostní cíle v souladu s právním rámcem, typem organizace, rozsahem služeb a příslušnými riziky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872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posouzení celkové úrovně bezpečnosti ve vztahu k bezpečnostním cílům organizace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810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vytváření plánů a postupů pro dosažení jejích bezpečnostních cílů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897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 dostupnosti zdrojů potřebných k provádění veškerých postupů za účelem splnění požadavků uvedených v této příloze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776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určení a řízení vlivu dalších řídicích činností na systém údržby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1055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vrcholové vedení zná výsledky sledování výkonnosti a auditů a převezme celkovou odpovědnost za uskutečnění změn v systému údržby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h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zajištění, že zaměstnanci a jejich zástupci jsou přiměřeně zastoupeni a konzultováni při určování, rozvíjení, sledování </w:t>
            </w:r>
            <w:r w:rsidRPr="00EE69AF">
              <w:lastRenderedPageBreak/>
              <w:t>a přezkoumávání bezpečnostních aspektů všech souvisejících postupů, do nichž mohou být zaměstnanci zapojeni.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Řízení rizika</w:t>
            </w:r>
            <w:r w:rsidRPr="00EE69AF">
              <w:rPr>
                <w:b/>
                <w:i/>
              </w:rPr>
              <w:t xml:space="preserve"> – strukturovaný přístup k posouzení rizik spojených s údržbou vozidel, včetně rizik přímo vyplývajících z provozních postupů a činností dalších organizací nebo osob, a k určení vhodných opatření k usměrňování rizik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2.1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zavedené postupy a opatření pro rozeznávání potřeby a závazku spolupracovat s držiteli, železničními podniky, provozovateli infrastruktury, konstruktéry a výrobci vozidel a jejich konstrukčních částí nebo jinými zúčastněnými stranami.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2.2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zavedeny postupy řízení rizika pro řízení změn knihy údržby, včetně plánů údržby, zařízení, postupů, organizace, personálu nebo rozhraní, a uplatňovat společné bezpečnostní metody týkající se metod pro hodnocení a posuzování rizik přijatých podle čl. 6 odst. 1 písm. a) směrnice (EU) 2016/798.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2.3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posuzování rizik, jejichž účelem je zohlednit potřebu určit, zajistit a zachovávat vhodné pracovní prostředí</w:t>
            </w:r>
            <w:r w:rsidRPr="00EE69AF">
              <w:rPr>
                <w:spacing w:val="-2"/>
              </w:rPr>
              <w:t>, jež je v souladu s právními předpisy Unie a</w:t>
            </w:r>
            <w:r w:rsidRPr="00EE69AF">
              <w:t xml:space="preserve"> vnitrostátními právními předpisy, zejména se směrnicí Rady 89/391/EHS.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  <w:i/>
              </w:rPr>
            </w:pPr>
            <w:r w:rsidRPr="00EE69AF">
              <w:rPr>
                <w:b/>
                <w:u w:val="single"/>
              </w:rPr>
              <w:t>Sledování</w:t>
            </w:r>
            <w:r w:rsidRPr="00EE69AF">
              <w:rPr>
                <w:b/>
              </w:rPr>
              <w:t xml:space="preserve"> –</w:t>
            </w:r>
            <w:r w:rsidRPr="00EE69AF">
              <w:rPr>
                <w:b/>
                <w:i/>
              </w:rPr>
              <w:t xml:space="preserve"> strukturovaný přístup pro zajištění, že opatření k řízení rizik jsou zavedena, správně fungují a plní cíle organizace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 pro pravidelné shromažďování, sledování a analyzování příslušných údajů o bezpečnosti, včetně informací 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provádění příslušných postupů,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výsledcích postupů (včetně veškerých sjednaných služeb a produktů),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účinnosti opatření pro řízení rizik,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zkušenostech, selháních, závadách a opravách, k nimž dochází během každodenního provozu a údržby.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zajištění, že nehody, mimořádné události, nebezpečné situace a další nebezpečné jevy budou nahlášeny, zaprotokolovány, vyšetřeny a analyzovány.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Pro pravidelný přezkum veškerých postupů musí mít organizace systém vnitřního auditu, jenž je nezávislý, nestranný a funguje transparentně. Tento systém musí obsahovat postupy pro: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vytváření plánu vnitřního auditu, který lze revidovat v závislosti na výsledcích předchozích auditů a sledování provádění,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analýzu a vyhodnocení výsledků auditů,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navrhování a zavádění konkrétních nápravných opatření nebo kroků,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ověření účinnosti předchozích opatření nebo kroků.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  <w:r w:rsidRPr="00EE69AF">
              <w:t xml:space="preserve">Postupy uvedené v bodech 3.1, </w:t>
            </w:r>
            <w:smartTag w:uri="urn:schemas-microsoft-com:office:smarttags" w:element="metricconverter">
              <w:smartTagPr>
                <w:attr w:name="ProductID" w:val="3.2 a"/>
              </w:smartTagPr>
              <w:r w:rsidRPr="00EE69AF">
                <w:t>3.2 a</w:t>
              </w:r>
            </w:smartTag>
            <w:r w:rsidRPr="00EE69AF">
              <w:t xml:space="preserve"> 3.3 tohoto oddílu musí být v souladu se společnými bezpečnostními metodami týkajícími se metod pro hodnocení a posuzování rizik přijatých podle čl. 6 odst. 1 písm. a) směrnice (EU) 2016/798 a metod pro posuzování úrovně bezpečnosti a stavu bezpečnosti provozovatelů železnic na vnitrostátní úrovni a na úrovni Unie přijatých podle čl. 6 odst. 1 písm. d) uvedené směrnice.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Neustálé zlepšování</w:t>
            </w:r>
            <w:r w:rsidRPr="00EE69AF">
              <w:rPr>
                <w:b/>
                <w:i/>
              </w:rPr>
              <w:t xml:space="preserve"> – strukturovaný přístup k analyzování informací získaných v průběhu pravidelného sledování a provádění auditů či z jiných příslušných zdrojů a pro využívání výsledků pro ponaučení a přijetí preventivních či nápravných opatření k zachování nebo zvýšení úrovně bezpečnosti </w:t>
            </w:r>
            <w:r w:rsidRPr="00EE69AF">
              <w:t>Organizace stanoví postupy, jimiž zaručí, že: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zjištěné nedostatky jsou napravovány,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jsou zaváděny výsledky nového vývoje v oblasti bezpečnosti,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zjištění vnitřního auditu jsou využívána ke zlepšování systému,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jsou v případě potřeby prováděna preventivní či nápravná </w:t>
            </w:r>
            <w:r w:rsidRPr="00703C91">
              <w:rPr>
                <w:spacing w:val="-2"/>
              </w:rPr>
              <w:t>opatření k zajištění toho, aby železniční systém odpovídal normám a jiným požadavkům v průběhu životnosti vybavení a během provozu,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důležité informace týkající se vyšetřování a příčin nehod, mimořádných událostí, nebezpečných situací a dalších nebezpečných jevů jsou využívány k ponaučení a v případě potřeby k přijetí opatření ke zlepšení úrovně bezpečnosti,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důležitá doporučení vnitrostátního bezpečnostního orgánu, vnitrostátního orgánu pro vyšetřování a doporučení na základě odvětvových či vnitřních šetření jsou vyhodnocována, a je-li to vhodné, prováděna,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důležité zprávy nebo informace od železničních podniků/provozovatelů infrastruktury a držitelů či z jiných příslušných zdrojů jsou zvažovány a zohledňovány.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Struktura a odpovědnost</w:t>
            </w:r>
            <w:r w:rsidRPr="00EE69AF">
              <w:rPr>
                <w:b/>
                <w:i/>
              </w:rPr>
              <w:t xml:space="preserve"> – strukturovaný přístup k vymezení odpovědností jednotlivců a skupin v zájmu zajištění plnění bezpečnostních cílů organizace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rozdělení odpovědnosti za veškeré příslušné postupy v rámci organizace.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jasné vymezení oblastí odpovědnosti souvisejících s bezpečností a přidělení odpovědnosti ke konkrétním funkcím, jež s nimi souvisejí, a rovněž k jejich rozhraním. Patří sem postupy uvedené výše v bodě 2.1 mezi organizací a držiteli, a je-li to vhodné, železničními podniky a provozovateli infrastruktury.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zajištění, že zaměstnanci, kteří byli v rámci organizace pověřeni odpovědností, mají pravomoc, způsobilost a odpovídající zdroje, aby mohli vykonávat své funkce. Odpovědnost a způsobilost by spolu měly souviset a měly by být slučitelné s danou funkcí a pověření musí být prováděna písemně.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 koordinace činností souvisejících s příslušnými postupy v rámci celé organizace.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5.5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to, aby osoby podílející se na řízení bezpečnosti nesly odpovědnost za svůj výkon.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Řízení způsobilosti</w:t>
            </w:r>
            <w:r w:rsidRPr="00EE69AF">
              <w:rPr>
                <w:b/>
                <w:i/>
              </w:rPr>
              <w:t xml:space="preserve"> – strukturovaný přístup k zajištění, že zaměstnanci mají potřebnou způsobilost, aby za všech okolností bezpečně, účinně a efektivně plnili cíle organizace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6.1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zavést systém řízení způsobilosti, který umožní: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určit pracovní místa s odpovědností za provádění veškerých postupů v rámci systému, jež jsou nezbytné ke splnění požadavků uvedených v této příloze,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určit pracovní místa zahrnující úkoly týkající se bezpečnosti,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přidělit příslušné úkoly zaměstnancům s odpovídající způsobilostí.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6.2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 rámci systému řízení způsobilosti organizace musí být zavedeny postupy pro řízení způsobilosti zaměstnanců, mezi něž patří alespoň: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určení znalostí, dovedností a zkušeností požadovaných pro úkoly související s bezpečností, jež jsou přiměřené jejich odpovědnosti,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zásady výběru zaměstnanců, včetně základní úrovně vzdělání, duševní způsobilosti a fyzické zdatnosti,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úvodní odborná příprava a kvalifikace či udělení osvědčení o získané způsobilosti a dovednostech,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ujištění, že všichni zaměstnanci si uvědomují význam a důležitost svých činností a vědí, jak přispívají k dosažení bezpečnostních cílů,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průběžná odborná příprava a pravidelné obnovování stávajících znalostí a dovedností,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je-li to vhodné, pravidelné kontroly způsobilosti, duševní způsobilosti a fyzické zdatnosti,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podle potřeby zvláštní opatření v případě nehod/mimořádných událostí či dlouhé nepřítomnosti v práci.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  <w:u w:val="single"/>
              </w:rPr>
            </w:pPr>
            <w:r w:rsidRPr="00EE69AF">
              <w:rPr>
                <w:b/>
                <w:u w:val="single"/>
              </w:rPr>
              <w:t>Informace</w:t>
            </w:r>
            <w:r w:rsidRPr="00EE69AF">
              <w:rPr>
                <w:b/>
                <w:i/>
              </w:rPr>
              <w:t xml:space="preserve"> – strukturovaný přístup k zajištění, že osoby provádějící posouzení a přijímající rozhodnutí na všech úrovních organizace mají přístup k důležitým informacím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vymezení způsobů podávání zpráv, aby bylo zajištěno, že v rámci samotného subjektu a při jeho jednání s ostatními aktéry, včetně provozovatelů infrastruktury, železničních podniků, držitelů a konstruktérů nebo výrobců vozidel nebo jejich konstrukčních částí, případně obou uvedených, jsou informace o veškerých příslušných postupech řádně vyměňovány a bezodkladně a přehledným způsobem předkládány osobě, která má náležitou funkci jak ve vlastní, tak v ostatních organizacích.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Aby byla zajištěna náležitá výměna informací, musí mít organizace postupy pro: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přijímání a zpracovávání konkrétních informací,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určování, vytváření a šíření konkrétních informací,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lastRenderedPageBreak/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zpřístupňování spolehlivých a aktuálních informací.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zajištění, že klíčové provozní informace jsou: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relevantní a platné,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přesné,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úplné,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náležitě aktualizované,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ověřené,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konzistentní a snadno srozumitelné (včetně použitého jazyka),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oznámeny zaměstnancům v souladu s jejich odpovědností před tím, než jsou použity,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h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snadno dostupné zaměstnancům, kterým jsou v případě potřeby poskytnuty kopie.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Požadavky stanovené v bodech 7.1, 7.2 a 7.3 se uplatní zejména u následujících provozních informací: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kontroly přesnosti a úplnosti vnitrostátních registrů vozidel ohledně identifikace (včetně prostředků) a registrace vozidel, jejichž údržbu organizace provádí,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dokumentace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podpoře poskytnuté držitelům, případně jiným stranám, včetně železničních podniků/provozovatelů infrastruktury,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kvalifikaci zaměstnanců a navazujícím dohledu během rozvoje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činnostech (včetně počtu ujetých kilometrů, druhu a</w:t>
            </w:r>
            <w:r>
              <w:t> </w:t>
            </w:r>
            <w:r w:rsidRPr="00EE69AF">
              <w:t>rozsahu činností, mimořádných událostí nebo nehod) a požadav-cích železničních podniků, držitelů a provozovatelů infrastruktury,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záznamy o provedené údržbě, včetně informací o nedostatcích zjištěných při inspekcích a o nápravných opatřeních přijatých </w:t>
            </w:r>
            <w:r w:rsidRPr="00EE69AF">
              <w:lastRenderedPageBreak/>
              <w:t>železničními podniky nebo provozovateli infrastruktury, např. inspekcích a sledováních provedených před odjezdem vlaku nebo během jízdy,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uvolnění do provozu a návrat do provozu,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h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příkazy k provedení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technické informace, jež mají být poskytnuty železničním podnikům/provozovatelům infrastruktury a držitelům, pokud jde o pokyny k údržbě,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j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tísňové informace týkající se situací, kdy je narušen bezpečný provozuschopný stav, které mohou spočívat: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pStyle w:val="Odstavecseseznamem"/>
              <w:numPr>
                <w:ilvl w:val="0"/>
                <w:numId w:val="4"/>
              </w:numPr>
              <w:spacing w:before="20" w:after="20" w:line="240" w:lineRule="auto"/>
              <w:ind w:left="352" w:hanging="283"/>
            </w:pPr>
            <w:r w:rsidRPr="00EE69AF">
              <w:t>v uložení omezení použití nebo konkrétních provozních podmínek pro vozidla, za jejichž údržbu je organizace odpovědná, nebo pro jiná vozidla stejné série i v případě, že za jejich údržbu odpovídají jiné subjekty odpovědné za údržbu, přičemž by tyto informace měly být předány také všem zúčastněným stranám,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pStyle w:val="Odstavecseseznamem"/>
              <w:numPr>
                <w:ilvl w:val="0"/>
                <w:numId w:val="4"/>
              </w:numPr>
              <w:spacing w:before="20" w:after="20" w:line="240" w:lineRule="auto"/>
              <w:ind w:left="352" w:hanging="283"/>
            </w:pPr>
            <w:r w:rsidRPr="00EE69AF">
              <w:t>v naléhavých informacích o problémech souvisejících s bezpečností zjištěných během údržby, jako jsou nedostatky odhalené na konstrukčních součástech, jež jsou společné různým typům či sériím vozidel,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k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veškeré příslušné informace nebo údaje, jež jsou potřebné pro předložení výroční zprávy o údržbě orgánu udělujícímu osvědčení a příslušným zákazníkům (včetně držitelů), přičemž tato zpráva musí být rovněž na požádání dána k dispozici vnitrostátním bezpečnostním orgánům.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8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  <w:u w:val="single"/>
              </w:rPr>
            </w:pPr>
            <w:r w:rsidRPr="00EE69AF">
              <w:rPr>
                <w:b/>
                <w:u w:val="single"/>
              </w:rPr>
              <w:t>Dokumentace</w:t>
            </w:r>
            <w:r w:rsidRPr="00EE69AF">
              <w:rPr>
                <w:b/>
                <w:i/>
              </w:rPr>
              <w:t xml:space="preserve"> – strukturovaný přístup k zajištění sledovatelnosti veškerých příslušných informací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8.1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zavedené vhodné postupy pro zajištění, že jsou veškeré příslušné postupy řádně dokumen</w:t>
            </w:r>
            <w:r w:rsidRPr="00EE69AF">
              <w:softHyphen/>
              <w:t>továny.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8.2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vhodné postupy pro: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pravidelné sledování a aktualizaci veškeré příslušné dokumentace,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formátování, vytváření, šíření a ověřování změn veškeré příslušné dokumentace,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přijímání, shromažďování a archivování veškeré příslušné dokumentace.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9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Uzavírání smluv</w:t>
            </w:r>
            <w:r w:rsidRPr="00EE69AF">
              <w:rPr>
                <w:b/>
              </w:rPr>
              <w:t xml:space="preserve"> </w:t>
            </w:r>
            <w:r w:rsidRPr="00EE69AF">
              <w:rPr>
                <w:b/>
                <w:i/>
              </w:rPr>
              <w:t>– strukturovaný přístup k zajištění, že subdodavatelské činnosti jsou vhodně řízeny tak, aby byly dosaženy cíle organizace</w:t>
            </w:r>
          </w:p>
        </w:tc>
      </w:tr>
      <w:tr w:rsidR="009E07CD" w:rsidRPr="00EE69AF" w:rsidTr="00703C91">
        <w:trPr>
          <w:trHeight w:val="770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zavedené postupy pro zajištění, že jsou určeny produkty a služby související s bezpečností.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 využívání smluvních subjektů nebo dodavatelů, popřípadě obou uvedených, v případě produktů a služeb souvisejících s bezpečností musí mít organizace zavedené postupy k tomu, aby v době výběru ověřila, že: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smluvní subjekty, subdodavatelé a dodavatelé jsou způsobilí,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smluvní subjekty, subdodavatelé a dodavatelé mají systém údržby a řízení, který je přiměřený a dokumentovaný.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 pro určení požadavků, jež musí tyto smluvní subjekty a dodavatelé splnit.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sledování informovanosti dodavatelů a/nebo smluvních subjektů ohledně rizik, která s sebou činnosti organizace nesou.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9.5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Bylo-li systému údržby nebo řízení smluvního subjektu či dodavatele uděleno osvědčení, postup sledování popsaný v bodě 3 lze omezit na výsledky sjednaných provozních postupů uvedených v bodě 3.1 písm. b) 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9.6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Jednoznačně definovány, známy a zařazeny do smluv mezi smluvními subjekty musí být alespoň základní zásady pro tyto postupy: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odpovědnosti a úkoly související se záležitostmi týkajícími se bezpečnosti železnic,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povinnosti související s předáváním příslušných informací mezi oběma stranami,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sledovatelnost dokumentů souvisejících s bezpečností.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/>
    <w:p w:rsidR="009E07CD" w:rsidRPr="00703C91" w:rsidRDefault="009E07CD" w:rsidP="00703C91">
      <w:pPr>
        <w:spacing w:after="0" w:line="240" w:lineRule="auto"/>
        <w:rPr>
          <w:sz w:val="2"/>
          <w:szCs w:val="2"/>
        </w:rPr>
      </w:pPr>
      <w:r>
        <w:br w:type="page"/>
      </w:r>
      <w:r w:rsidRPr="00703C91">
        <w:rPr>
          <w:sz w:val="2"/>
          <w:szCs w:val="2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1"/>
        <w:gridCol w:w="337"/>
        <w:gridCol w:w="360"/>
        <w:gridCol w:w="295"/>
        <w:gridCol w:w="6083"/>
        <w:gridCol w:w="4114"/>
        <w:gridCol w:w="3908"/>
      </w:tblGrid>
      <w:tr w:rsidR="009E07CD" w:rsidRPr="00EE69AF" w:rsidTr="00EE69AF">
        <w:tc>
          <w:tcPr>
            <w:tcW w:w="15388" w:type="dxa"/>
            <w:gridSpan w:val="7"/>
            <w:shd w:val="clear" w:color="auto" w:fill="FFD966"/>
          </w:tcPr>
          <w:p w:rsidR="009E07CD" w:rsidRPr="00EE69AF" w:rsidRDefault="009E07CD" w:rsidP="00CA70A3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>
              <w:br w:type="page"/>
            </w:r>
            <w:r w:rsidRPr="00EE69AF">
              <w:rPr>
                <w:b/>
                <w:sz w:val="28"/>
              </w:rPr>
              <w:t>II. Požadavky a hodnotící kritéria pro funkci rozvoje údržby</w:t>
            </w:r>
            <w:r w:rsidR="00CA70A3">
              <w:rPr>
                <w:b/>
                <w:sz w:val="28"/>
              </w:rPr>
              <w:t xml:space="preserve"> </w:t>
            </w:r>
            <w:r w:rsidR="00CA70A3">
              <w:rPr>
                <w:b/>
                <w:sz w:val="28"/>
              </w:rPr>
              <w:t xml:space="preserve"> (ECM F</w:t>
            </w:r>
            <w:r w:rsidR="00CA70A3">
              <w:rPr>
                <w:b/>
                <w:sz w:val="28"/>
              </w:rPr>
              <w:t>2</w:t>
            </w:r>
            <w:r w:rsidR="00CA70A3">
              <w:rPr>
                <w:b/>
                <w:sz w:val="28"/>
              </w:rPr>
              <w:t>)</w:t>
            </w:r>
          </w:p>
        </w:tc>
      </w:tr>
      <w:tr w:rsidR="009E07CD" w:rsidRPr="00EE69AF" w:rsidTr="00EE69AF">
        <w:tc>
          <w:tcPr>
            <w:tcW w:w="1283" w:type="dxa"/>
            <w:gridSpan w:val="4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08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114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908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musí mít postup pro určování a řízení: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veškerých činností údržby, které mají vliv na bezpečnost,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všech konstrukčních částí zásadně důležitých pro bezpečnost.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zaručení souladu se základními požadavky interoperability, včetně aktualizací v průběhu životního cyklu, a to prostřednictvím: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 souladu se specifikacemi souvisejícími se základními parametry interoperability uvedenými v příslušných technických specifikacích pro interoperabilitu (TSI),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ověřování souladu knihy údržby se schválením týkajícím se vozidla (včetně všech vnitrostátních bezpečnostních požadavků), včetně shody s technickou dokumentací a druhem záznamů podle Evropského registru povolených typů vozidel (ERATV), a to za všech okolností,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řízení jakékoli výměny v rámci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určení, zda je zapotřebí posoudit rizika potenciálního dopadu změny na bezpečnost železničního systému, s využitím společných bezpečnostních metod, které se týkají metod hodnocení a posuzování rizik přijatých podle čl. 6 odst. 1 písm. a) směrnice (EU) 2016/798,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řízení konfigurace všech technických změn ovlivňujících systémovou integritu vozidla.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 pro plánování a podporu zavádění údržbářských zařízení, vybavení a nástrojů speciálně vyvinutých a potřebných pro provádění údržby. Organizace musí mít postup pro kontrolu, že tato zařízení, vybavení a nástroje jsou používány, skladovány a udržovány v souladu s jejich plánem údržby a s požadavky na údržbu.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lastRenderedPageBreak/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CA70A3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Když jsou vozidla uváděna do provozu</w:t>
            </w:r>
            <w:r w:rsidR="00CA70A3">
              <w:rPr>
                <w:b/>
              </w:rPr>
              <w:t xml:space="preserve"> </w:t>
            </w:r>
            <w:r w:rsidR="00CA70A3" w:rsidRPr="00CA70A3">
              <w:t>(zaváděna do systému údržby)</w:t>
            </w:r>
            <w:r w:rsidRPr="00EE69AF">
              <w:rPr>
                <w:b/>
              </w:rPr>
              <w:t xml:space="preserve">, musí mít </w:t>
            </w:r>
            <w:r w:rsidR="00CA70A3" w:rsidRPr="00EE69AF">
              <w:rPr>
                <w:b/>
              </w:rPr>
              <w:t xml:space="preserve">organizace </w:t>
            </w:r>
            <w:r w:rsidRPr="00EE69AF">
              <w:rPr>
                <w:b/>
              </w:rPr>
              <w:t>postupy pro: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získání přístupu k doporučením k údržbě podle výchozí dokumentace a pro shromáždění dostatečných informací o plánovaných činnostech,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analýzu uvedených doporučení k údržbě podle výchozí dokumentace a poskytnutí první knihy údržby s využitím společných bezpečnostních metod, které se týkají metod hodnocení a posuzování rizik přijatých podle čl. 6 odst. 1 písm. a) směrnice (EU) 2016/798, a to i s přihlédnutím k informacím obsaženým ve všech souvisejících zárukách,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vedení první knihy údržby je prováděno správným způsobem.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Aby byla kniha údržby v průběhu celého životního cyklu vozidla aktualizována, musí mít organizace postupy pro: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shromažďování alespoň relevantních informací týkajících se: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druhu a rozsahu účinně provedených činností, včetně – ale nikoli pouze – nehod, vážných nehod a mimořádných událostí, jak jsou definovány ve směrnici (EU) 2016/798,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zjištěných selhání konstrukčních částí,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druhu a rozsahu plánovaných činností,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iv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účinně provedené údržby;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819"/>
        </w:trPr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vymezení potřeb aktualizací s ohledem na mezní hodnoty pro interoperabilitu,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předložení návrhů změn, jejich schválení a jejich provádění s ohledem na rozhodnutí vycházející z jasných kritérií, při současném zohlednění zjištění z posouzení rizik provedených s využitím společných bezpečnostních metod, které se týkají metod hodnocení a posuzování rizik přijatých podle čl. 6 odst. 1 písm. a) směrnice (EU) 2016/798,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848"/>
        </w:trPr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změny jsou prováděny správným způsobem,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sledování účinnosti změn postupem, který je v souladu s meto-dami pro posuzování úrovně bezpečnosti a stavu bezpečnosti provozovatelů železnic na vnitrostátní úrovni a na úrovni Unie přijatými podle čl. 6 odst. 1 písm. d) směrnice (EU) 2016/798.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Při uplatňování postupu pro řízení způsobilosti ve funkci rozvoje údržby musí být zohledněny alespoň tyto činnosti ovlivňující bezpečnost: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využití společných bezpečnostních metod týkajících se metod hodnocení a posuzování rizik přijatých podle čl. 6 odst. 1 písm. a) směrnice (EU) 2016/798 pro posuzování změn knihy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inženýrské obory požadované pro řízení zavedení a změn v knize údržby a rozvoje, posuzování, ověřování a schvalování výměn v rámci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na konstrukčních částech zásadně důležitých pro bezpečnost,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spojovací techniky (včetně svařování a lepení),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nedestruktivní zkoušení.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Při uplatňování postupu pro dokumentaci ve funkci rozvoje údržby je třeba zaručit sledovatelnost alespoň u těchto prvků: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dokumentace vztahující se k plánování, posuzování, ověřování a schvalování výměny v rámci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konfigurace vozidel, včetně – ale nikoli pouze – konstrukčních částí zásadně důležitých pro bezpečnost, a změn palubního softwaru,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záznamů o provedené údržbě,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výsledků studií o využití zkušeností,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veškerých po sobě následujících verzí knihy údržby, včetně posouzení rizik,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zpráv o způsobilosti a dohledu nad prováděním údržby a řízením údržby voz</w:t>
            </w:r>
            <w:r w:rsidR="008B713F">
              <w:t>idl</w:t>
            </w:r>
            <w:r w:rsidRPr="00EE69AF">
              <w:t>ového parku,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technických informací, které mají být poskytnuty za účelem podpory držitelů, železničních podniků a provozo</w:t>
            </w:r>
            <w:r w:rsidRPr="00EE69AF">
              <w:softHyphen/>
              <w:t>vatelů infrastruktury.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 w:rsidP="00D91331"/>
    <w:p w:rsidR="009E07CD" w:rsidRPr="00703C91" w:rsidRDefault="009E07CD" w:rsidP="00703C91">
      <w:pPr>
        <w:spacing w:after="0" w:line="240" w:lineRule="auto"/>
        <w:rPr>
          <w:sz w:val="2"/>
          <w:szCs w:val="2"/>
        </w:rPr>
      </w:pPr>
      <w:r>
        <w:br w:type="page"/>
      </w:r>
      <w:r w:rsidRPr="00703C91">
        <w:rPr>
          <w:sz w:val="2"/>
          <w:szCs w:val="2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0"/>
        <w:gridCol w:w="336"/>
        <w:gridCol w:w="302"/>
        <w:gridCol w:w="6409"/>
        <w:gridCol w:w="4098"/>
        <w:gridCol w:w="3893"/>
      </w:tblGrid>
      <w:tr w:rsidR="009E07CD" w:rsidRPr="00EE69AF" w:rsidTr="00EE69AF">
        <w:tc>
          <w:tcPr>
            <w:tcW w:w="15388" w:type="dxa"/>
            <w:gridSpan w:val="6"/>
            <w:shd w:val="clear" w:color="auto" w:fill="FFD966"/>
          </w:tcPr>
          <w:p w:rsidR="009E07CD" w:rsidRPr="00EE69AF" w:rsidRDefault="009E07CD" w:rsidP="00CA70A3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 w:rsidRPr="00EE69AF">
              <w:rPr>
                <w:b/>
                <w:sz w:val="28"/>
              </w:rPr>
              <w:t xml:space="preserve">III. Požadavky a hodnotící kritéria pro funkci řízení údržby vozidlového parku </w:t>
            </w:r>
            <w:r w:rsidR="00CA70A3">
              <w:rPr>
                <w:b/>
                <w:sz w:val="28"/>
              </w:rPr>
              <w:t xml:space="preserve"> (ECM F</w:t>
            </w:r>
            <w:r w:rsidR="00CA70A3">
              <w:rPr>
                <w:b/>
                <w:sz w:val="28"/>
              </w:rPr>
              <w:t>3</w:t>
            </w:r>
            <w:r w:rsidR="00CA70A3">
              <w:rPr>
                <w:b/>
                <w:sz w:val="28"/>
              </w:rPr>
              <w:t>)</w:t>
            </w:r>
          </w:p>
        </w:tc>
      </w:tr>
      <w:tr w:rsidR="009E07CD" w:rsidRPr="00EE69AF" w:rsidTr="00EE69AF">
        <w:tc>
          <w:tcPr>
            <w:tcW w:w="988" w:type="dxa"/>
            <w:gridSpan w:val="3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409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098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89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musí mít postupy pro kontrolu způsobilosti, dostupnosti a možností subjektu odpovědného za údržbu ještě před vydáním příkazu k provedení údržby. To vyžaduje, aby údržbářské dílny byly řádně kvalifikovány, a mohly tak rozhodovat o požadavcích na tech. způsobilost ve funkci provádění údržby.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rPr>
                <w:sz w:val="20"/>
              </w:rPr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>Organizace musí mít postup pro sestavení pracovního balíčku a vydání a zveřejnění příkazu k provedení údržby.</w:t>
            </w:r>
          </w:p>
        </w:tc>
      </w:tr>
      <w:tr w:rsidR="009E07CD" w:rsidRPr="00EE69AF" w:rsidTr="00703C91">
        <w:trPr>
          <w:trHeight w:val="847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rPr>
                <w:sz w:val="20"/>
              </w:rPr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 k tomu, aby byla vozidla odeslána za účelem údržby včas.</w:t>
            </w:r>
          </w:p>
        </w:tc>
      </w:tr>
      <w:tr w:rsidR="009E07CD" w:rsidRPr="00EE69AF" w:rsidTr="00703C91">
        <w:trPr>
          <w:trHeight w:val="997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>Organizace musí mít postup pro řízení vyjímání vozidel z provozu v případě, kdy je potřeba provést údržbu nebo kdy je není možné bezpečně provozovat nebo kdy potřeba údržby ovlivňuje běžný provoz.</w:t>
            </w:r>
          </w:p>
        </w:tc>
      </w:tr>
      <w:tr w:rsidR="009E07CD" w:rsidRPr="00EE69AF" w:rsidTr="00703C91">
        <w:trPr>
          <w:trHeight w:val="1047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rPr>
                <w:sz w:val="24"/>
              </w:rPr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rPr>
                <w:b/>
              </w:rPr>
            </w:pPr>
            <w:r w:rsidRPr="00EE69AF">
              <w:rPr>
                <w:b/>
              </w:rPr>
              <w:t>Organizace musí mít postup pro určení potřebných ověřovacích opatření používaných pro provádění údržby a uvolňování vozidel do provozu.</w:t>
            </w:r>
          </w:p>
        </w:tc>
      </w:tr>
      <w:tr w:rsidR="009E07CD" w:rsidRPr="00EE69AF" w:rsidTr="00703C91">
        <w:trPr>
          <w:trHeight w:val="809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>Organizace musí mít postup pro vydávání oznámení o návratu do provozu, včetně určení omezení jejich použití, s cílem zajistit bezpečný provoz tím, že se zohlední dokumentace týkající se uvolnění do provozu.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 xml:space="preserve">Při uplatňování postupu pro řízení způsobilosti ve funkci řízení údržby </w:t>
            </w:r>
            <w:r w:rsidR="00345003" w:rsidRPr="00EE69AF">
              <w:rPr>
                <w:b/>
              </w:rPr>
              <w:t>voz</w:t>
            </w:r>
            <w:r w:rsidR="00345003">
              <w:rPr>
                <w:b/>
              </w:rPr>
              <w:t>idl</w:t>
            </w:r>
            <w:r w:rsidR="00345003" w:rsidRPr="00EE69AF">
              <w:rPr>
                <w:b/>
              </w:rPr>
              <w:t>ového</w:t>
            </w:r>
            <w:r w:rsidRPr="00EE69AF">
              <w:rPr>
                <w:b/>
              </w:rPr>
              <w:t xml:space="preserve"> parku musí být zohledněn alespoň návrat do provozu včetně určení omezení při použití.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8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 xml:space="preserve">Při uplatňování postupu pro poskytování informací ve funkci řízení údržby </w:t>
            </w:r>
            <w:r w:rsidR="00345003" w:rsidRPr="00EE69AF">
              <w:rPr>
                <w:b/>
              </w:rPr>
              <w:t>voz</w:t>
            </w:r>
            <w:r w:rsidR="00345003">
              <w:rPr>
                <w:b/>
              </w:rPr>
              <w:t>idl</w:t>
            </w:r>
            <w:r w:rsidR="00345003" w:rsidRPr="00EE69AF">
              <w:rPr>
                <w:b/>
              </w:rPr>
              <w:t xml:space="preserve">ového </w:t>
            </w:r>
            <w:r w:rsidRPr="00EE69AF">
              <w:rPr>
                <w:b/>
              </w:rPr>
              <w:t>parku je třeba pro funkci provádění údržby poskytnout alespoň následující informace: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platná pravidla a technické specifikace,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plán údržby pro každé vozidlo,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seznam náhradních dílů, včetně dostatečně podrobného technického popisu každé části, aby bylo možné provádět výměnu dílů za identické díly se stejnými zárukami,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seznam materiálů, včetně dostatečně podrobného popisu jejich použití a potřebných informací týkajících se zdraví a bezpečnosti,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dokumentaci, která definuje specifikace pro činnosti ovlivňující bezpečnost a obsahuje intervenční a běžná omezení pro součásti,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seznam součástí nebo systémů, které podléhají právním požadavkům, a seznam těchto požadavků (včetně brzdných vzduchojemů a cisteren pro přepravu nebezpečných věcí),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využití společných bezpečnostních metod týkajících se metod hodnocení a posuzování rizik přijatých podle čl. 6 odst. 1 písm. a) směrnice (EU) 2016/798 pro posuzování změn, které mají vliv na funkci řízení údržby vozového parku.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9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rPr>
                <w:b/>
              </w:rPr>
            </w:pPr>
            <w:r w:rsidRPr="00EE69AF">
              <w:rPr>
                <w:b/>
              </w:rPr>
              <w:t xml:space="preserve">Při uplatňování postupu pro poskytování informací ve funkci řízení údržby </w:t>
            </w:r>
            <w:r w:rsidR="00737141">
              <w:rPr>
                <w:b/>
              </w:rPr>
              <w:t>vozidlového</w:t>
            </w:r>
            <w:r w:rsidRPr="00EE69AF">
              <w:rPr>
                <w:b/>
              </w:rPr>
              <w:t xml:space="preserve"> parku je třeba zúčastněným stranám sdělit alespoň informace o návratu do provozu, včetně omezení použití pro uživatele (železniční podniky a provozovatele infrastruktury).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  <w:spacing w:val="-4"/>
              </w:rPr>
            </w:pPr>
            <w:r w:rsidRPr="00EE69AF">
              <w:rPr>
                <w:b/>
                <w:spacing w:val="-4"/>
              </w:rPr>
              <w:t>10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rPr>
                <w:b/>
              </w:rPr>
            </w:pPr>
            <w:r w:rsidRPr="00EE69AF">
              <w:rPr>
                <w:b/>
              </w:rPr>
              <w:t xml:space="preserve">Při uplatňování postupu pro dokumentaci ve funkci řízení údržby </w:t>
            </w:r>
            <w:r w:rsidR="00737141">
              <w:rPr>
                <w:b/>
              </w:rPr>
              <w:t>vozidlového</w:t>
            </w:r>
            <w:r w:rsidRPr="00EE69AF">
              <w:rPr>
                <w:b/>
              </w:rPr>
              <w:t xml:space="preserve"> parku je třeba zaznamenávat alespoň následující informace: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příkazy k provedení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návrat do provozu, včetně omezení použití pro železniční podniky a provozovatele infrastruktury.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 w:rsidP="00CF7AF8">
      <w:pPr>
        <w:rPr>
          <w:sz w:val="2"/>
          <w:szCs w:val="2"/>
        </w:rPr>
      </w:pPr>
      <w:r w:rsidRPr="00703C91">
        <w:rPr>
          <w:sz w:val="2"/>
          <w:szCs w:val="2"/>
        </w:rPr>
        <w:t> </w:t>
      </w:r>
    </w:p>
    <w:p w:rsidR="00CA70A3" w:rsidRDefault="00CA70A3" w:rsidP="00CF7AF8">
      <w:pPr>
        <w:rPr>
          <w:sz w:val="2"/>
          <w:szCs w:val="2"/>
        </w:rPr>
      </w:pPr>
    </w:p>
    <w:p w:rsidR="00CA70A3" w:rsidRPr="00703C91" w:rsidRDefault="00CA70A3" w:rsidP="00CF7AF8">
      <w:pPr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2"/>
        <w:gridCol w:w="336"/>
        <w:gridCol w:w="359"/>
        <w:gridCol w:w="294"/>
        <w:gridCol w:w="6053"/>
        <w:gridCol w:w="4094"/>
        <w:gridCol w:w="3890"/>
      </w:tblGrid>
      <w:tr w:rsidR="009E07CD" w:rsidRPr="00EE69AF" w:rsidTr="00EE69AF">
        <w:tc>
          <w:tcPr>
            <w:tcW w:w="15388" w:type="dxa"/>
            <w:gridSpan w:val="7"/>
            <w:shd w:val="clear" w:color="auto" w:fill="FFD966"/>
          </w:tcPr>
          <w:p w:rsidR="009E07CD" w:rsidRPr="00EE69AF" w:rsidRDefault="009E07CD" w:rsidP="00CA70A3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 w:rsidRPr="00EE69AF">
              <w:rPr>
                <w:b/>
                <w:sz w:val="28"/>
              </w:rPr>
              <w:t>IV. Požadavky a hodnotící kritéria pro funkci provádění údržby</w:t>
            </w:r>
            <w:r w:rsidR="00CA70A3">
              <w:rPr>
                <w:b/>
                <w:sz w:val="28"/>
              </w:rPr>
              <w:t xml:space="preserve">  (ECM F</w:t>
            </w:r>
            <w:r w:rsidR="00CA70A3">
              <w:rPr>
                <w:b/>
                <w:sz w:val="28"/>
              </w:rPr>
              <w:t>4</w:t>
            </w:r>
            <w:r w:rsidR="00CA70A3">
              <w:rPr>
                <w:b/>
                <w:sz w:val="28"/>
              </w:rPr>
              <w:t>)</w:t>
            </w:r>
          </w:p>
        </w:tc>
      </w:tr>
      <w:tr w:rsidR="009E07CD" w:rsidRPr="00EE69AF" w:rsidTr="00EE69AF">
        <w:tc>
          <w:tcPr>
            <w:tcW w:w="1351" w:type="dxa"/>
            <w:gridSpan w:val="4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05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094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890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musí mít postupy pro:</w:t>
            </w:r>
          </w:p>
        </w:tc>
      </w:tr>
      <w:tr w:rsidR="009E07CD" w:rsidRPr="00EE69AF" w:rsidTr="00703C91">
        <w:trPr>
          <w:trHeight w:val="813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kontrolu úplnosti a dostatečnosti informací poskytnutých funkcí řízení údržby vozového parku v souvislosti s nařízenými činnostmi,  </w:t>
            </w:r>
          </w:p>
        </w:tc>
        <w:tc>
          <w:tcPr>
            <w:tcW w:w="409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ověřování použití příslušných požadovaných dokumentů o údržbě a dalších platných norem pro provádění služeb údržby podle příkazů k provedení údržby,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všechny příslušné specifikace pro údržbu, jak jsou definovány v platných nařízeních a určitých normách obsažených v příkazech k provedení údržby, jsou dostupné všem zúčastněným zaměstnancům (např. že jsou obsaženy v interních pracovních pokynech).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stanoví postupy, jimiž zaručí, že: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součásti (včetně náhradních dílů) a materiály jsou používány tak, jak je určeno v příkazech k provedení údržby a dokumentaci dodavatelů,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součásti a materiály jsou skladovány, je s nimi zacházeno a jsou přepravovány takovým způsobem, aby se předcházelo opotřebení a poškození, a jak je určeno v příkazech k provedení údržby a dokumentaci dodavatelů,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všechny součásti a materiály, včetně součástí a materiálů poskytnutých zákazníkem, vyhovují příslušným vnitro</w:t>
            </w:r>
            <w:r w:rsidRPr="00EE69AF">
              <w:softHyphen/>
              <w:t>státním a mezinárodním pravidlům a rovněž požadavkům příslušných příkazů k provedení údržby.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určení, rozeznání a zajištění vhodného a dostatečného zařízení, vybavení a nástrojů, pro vedení záznamů o tomto zařízení, vybavení a nástrojích a pro to, aby byly k dispozici, a mohla tak provádět služby údržby podle příkazů k provedení údržby a ostatních platných specifikací, čímž zajistí:</w:t>
            </w:r>
          </w:p>
        </w:tc>
      </w:tr>
      <w:tr w:rsidR="009E07CD" w:rsidRPr="00EE69AF" w:rsidTr="00703C91">
        <w:trPr>
          <w:trHeight w:val="759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  <w:r w:rsidRPr="00EE69AF">
              <w:t>bezpečné provádění údržby, včetně zajištění zdraví a bezpečnosti zaměstnanců provádějících údržbu,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  <w:r w:rsidRPr="00EE69AF">
              <w:t>ergonomickou ochranu a ochranu zdraví, včetně rozhraní mezi uživateli a technologickými informačními systémy nebo diagnostickým vybavením.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Je-li to nutné pro zajištění platných výsledků, musí mít organizace postupy, které zajistí, že její měřicí vybavení je: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 stanovených intervalech nebo před použitím kalibrováno nebo ověřováno, a to podle mezinárodních, vnitro</w:t>
            </w:r>
            <w:r w:rsidRPr="00EE69AF">
              <w:softHyphen/>
              <w:t>státních nebo odvětvových norem pro měření – jestliže takové normy neexistují, musí být základ použitý pro kalibraci nebo ověřování zaznamenán,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seřízeno nebo opětovně seřízeno, je-li to třeba,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identifikováno, aby bylo možné určit stav kalibrace,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zabezpečeno před takovým seřízením, které by znehodnotilo platnost výsledku měření,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chráněno před poškozením a znehodnocením v průběhu manipulace, údržby a skladování.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zajištění, že veškeré zařízení, vybavení a nástroje jsou používány, kalibrovány, chráněny a udržovány správně a v souladu s dokumentovanými postupy.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kontrolu, že prováděné úkoly jsou v souladu s příkazy k provedení údržby, a pro vydávání oznámení o uvolnění do provozu. Oznámení o uvolnění do provozu musí obsahovat všechny informace, které jsou užitečné pro určení omezení použití.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Při uplatňování postupu pro posouzení rizik (zejména bodů 2.2 a 2.3 oddílu I) ve funkci provádění údržby se pojem pracovní prostředí vztahuje nejen na dílny, v nichž se provádí údržba, ale rovněž na koleje mimo budovy dílny a na všechna místa, kde jsou prováděny činnosti údržby.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8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Při uplatňování postupu pro řízení způsobilosti ve funkci provádění údržby musí být ve vhodných případech zohledněny alespoň tyto činnosti ovlivňující bezpečnost: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spojovací techniky (včetně svařování a lepení),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nedestruktivní zkoušení,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závěrečné zkoušení vozidla a uvolnění do provozu,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prováděné na brzdných systémech, dvojkolí a tažném ústrojí a činnosti údržby prováděné na určitých součástech nákladních vozů pro přepravu nebezpečných věcí, jako jsou cisterny, ventily apod.,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732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na konstrukčních částech zásadně důležitých pro bezpečnost,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systémů řízení a signalizace,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činnosti údržby systémů pro ovládání dveří,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h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ostatní určené odborné oblasti ovlivňující bezpečnost.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9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Při uplatňování postupu pro poskytování informací ve funkci provádění údržby je třeba pro funkce řízení údržby vozového parku a rozvoje údržby poskytnout alespoň následující informace: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práce prováděné v souladu s příkazy k údržbě,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678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jakékoli možné poruše či závadě související s bezpečností, kterou organizace zjistila,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uvolnění do provozu.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 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  <w:spacing w:val="-4"/>
              </w:rPr>
              <w:t>10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Pokud se dokumentační proces používá pro funkci provádění údržby, pro činnosti údržby ovlivňující bezpečnost uvedené v oddíle II bodě 1 písm. a) musí být zaznamenány přinejmenším následující prvky: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jasná identifikace všech zařízení, vybavení a nástrojů,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veškeré provedené práce údržby včetně zaměstnanců, použitých nástrojů, vybavení, náhradních dílů a materiálů a s přihlédnutím k:</w:t>
            </w:r>
          </w:p>
        </w:tc>
        <w:tc>
          <w:tcPr>
            <w:tcW w:w="409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</w:t>
            </w: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příslušným vnitrostátním předpisům státu, kde má organizace sídlo,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</w:t>
            </w: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požadavkům stanoveným v příkazech k provedení údržby včetně požadavků na vedení záznamů,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iii</w:t>
            </w: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závěrečnému zkoušení a rozhodnutí o uvolnění do provozu;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kontrolní opatření požadovaná v příkazech k provedení údržby a uvolnění do provozu,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výsledky kalibrace a ověřování, přičemž pro počítačový software používaný při sledování a měření konkrétních požadavků musí být před prvním použitím potvrzena a podle potřeby znovu potvrzena schopnost softwaru provádět požadovaný úkol,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platnost výsledků předchozích měření v případě, že bylo zjištěno, že měřicí nástroj není v souladu s požadavky.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 w:rsidP="00CF7AF8"/>
    <w:p w:rsidR="009E07CD" w:rsidRDefault="009E07CD" w:rsidP="00D74D07"/>
    <w:sectPr w:rsidR="009E07CD" w:rsidSect="00CA70A3">
      <w:headerReference w:type="default" r:id="rId7"/>
      <w:footerReference w:type="default" r:id="rId8"/>
      <w:pgSz w:w="16838" w:h="11906" w:orient="landscape"/>
      <w:pgMar w:top="611" w:right="720" w:bottom="720" w:left="720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7D" w:rsidRDefault="006A067D" w:rsidP="00CA70A3">
      <w:pPr>
        <w:spacing w:after="0" w:line="240" w:lineRule="auto"/>
      </w:pPr>
      <w:r>
        <w:separator/>
      </w:r>
    </w:p>
  </w:endnote>
  <w:endnote w:type="continuationSeparator" w:id="0">
    <w:p w:rsidR="006A067D" w:rsidRDefault="006A067D" w:rsidP="00CA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A3" w:rsidRPr="00CA70A3" w:rsidRDefault="00CA70A3">
    <w:pPr>
      <w:pStyle w:val="Zpat"/>
      <w:rPr>
        <w:color w:val="FF0000"/>
      </w:rPr>
    </w:pPr>
    <w:r w:rsidRPr="00CA70A3">
      <w:rPr>
        <w:color w:val="FF0000"/>
      </w:rPr>
      <w:t xml:space="preserve">Vydáno dne </w:t>
    </w:r>
    <w:r>
      <w:rPr>
        <w:color w:val="FF0000"/>
      </w:rPr>
      <w:t>DD.MM.RRRR</w:t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  <w:t xml:space="preserve">str. </w:t>
    </w:r>
    <w:r w:rsidRPr="00CA70A3">
      <w:rPr>
        <w:color w:val="FF0000"/>
      </w:rPr>
      <w:fldChar w:fldCharType="begin"/>
    </w:r>
    <w:r w:rsidRPr="00CA70A3">
      <w:rPr>
        <w:color w:val="FF0000"/>
      </w:rPr>
      <w:instrText>PAGE   \* MERGEFORMAT</w:instrText>
    </w:r>
    <w:r w:rsidRPr="00CA70A3">
      <w:rPr>
        <w:color w:val="FF0000"/>
      </w:rPr>
      <w:fldChar w:fldCharType="separate"/>
    </w:r>
    <w:r>
      <w:rPr>
        <w:noProof/>
        <w:color w:val="FF0000"/>
      </w:rPr>
      <w:t>19</w:t>
    </w:r>
    <w:r w:rsidRPr="00CA70A3">
      <w:rPr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7D" w:rsidRDefault="006A067D" w:rsidP="00CA70A3">
      <w:pPr>
        <w:spacing w:after="0" w:line="240" w:lineRule="auto"/>
      </w:pPr>
      <w:r>
        <w:separator/>
      </w:r>
    </w:p>
  </w:footnote>
  <w:footnote w:type="continuationSeparator" w:id="0">
    <w:p w:rsidR="006A067D" w:rsidRDefault="006A067D" w:rsidP="00CA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A3" w:rsidRPr="00CA70A3" w:rsidRDefault="00CA70A3" w:rsidP="00CA70A3">
    <w:pPr>
      <w:pStyle w:val="Zhlav"/>
      <w:spacing w:after="120"/>
      <w:rPr>
        <w:color w:val="FF0000"/>
      </w:rPr>
    </w:pPr>
    <w:r w:rsidRPr="00CA70A3">
      <w:rPr>
        <w:color w:val="FF0000"/>
      </w:rPr>
      <w:t>Název společnosti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621"/>
    <w:multiLevelType w:val="hybridMultilevel"/>
    <w:tmpl w:val="946A20F4"/>
    <w:lvl w:ilvl="0" w:tplc="54DE5404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E3046"/>
    <w:multiLevelType w:val="hybridMultilevel"/>
    <w:tmpl w:val="874017BE"/>
    <w:lvl w:ilvl="0" w:tplc="6C8A59D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3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7F2F59"/>
    <w:multiLevelType w:val="hybridMultilevel"/>
    <w:tmpl w:val="24C64734"/>
    <w:lvl w:ilvl="0" w:tplc="7AB26A2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A402C6"/>
    <w:multiLevelType w:val="hybridMultilevel"/>
    <w:tmpl w:val="24C64734"/>
    <w:lvl w:ilvl="0" w:tplc="7AB26A2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20362D"/>
    <w:multiLevelType w:val="hybridMultilevel"/>
    <w:tmpl w:val="CA50E042"/>
    <w:lvl w:ilvl="0" w:tplc="DA0CA9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8A"/>
    <w:rsid w:val="00005A07"/>
    <w:rsid w:val="000322BE"/>
    <w:rsid w:val="000B6DDC"/>
    <w:rsid w:val="00146EEA"/>
    <w:rsid w:val="00154AE5"/>
    <w:rsid w:val="00284A1B"/>
    <w:rsid w:val="002A4409"/>
    <w:rsid w:val="002C08DB"/>
    <w:rsid w:val="002C3F9A"/>
    <w:rsid w:val="002F1A1C"/>
    <w:rsid w:val="003376B5"/>
    <w:rsid w:val="00345003"/>
    <w:rsid w:val="00377433"/>
    <w:rsid w:val="003E796A"/>
    <w:rsid w:val="004B3426"/>
    <w:rsid w:val="004C08DD"/>
    <w:rsid w:val="00536EF8"/>
    <w:rsid w:val="005B2AB5"/>
    <w:rsid w:val="00611671"/>
    <w:rsid w:val="00630B2E"/>
    <w:rsid w:val="0065098A"/>
    <w:rsid w:val="006666B8"/>
    <w:rsid w:val="00670B4A"/>
    <w:rsid w:val="006758BF"/>
    <w:rsid w:val="006A067D"/>
    <w:rsid w:val="00703C91"/>
    <w:rsid w:val="00737141"/>
    <w:rsid w:val="007464B1"/>
    <w:rsid w:val="007834C1"/>
    <w:rsid w:val="007A19DA"/>
    <w:rsid w:val="007A28F8"/>
    <w:rsid w:val="007E7284"/>
    <w:rsid w:val="0082142B"/>
    <w:rsid w:val="008B2291"/>
    <w:rsid w:val="008B713F"/>
    <w:rsid w:val="00934323"/>
    <w:rsid w:val="009D644E"/>
    <w:rsid w:val="009E07CD"/>
    <w:rsid w:val="00B62345"/>
    <w:rsid w:val="00B82F07"/>
    <w:rsid w:val="00BC3A3B"/>
    <w:rsid w:val="00C524C6"/>
    <w:rsid w:val="00C66FD8"/>
    <w:rsid w:val="00CA2A37"/>
    <w:rsid w:val="00CA70A3"/>
    <w:rsid w:val="00CF7AF8"/>
    <w:rsid w:val="00D74D07"/>
    <w:rsid w:val="00D86172"/>
    <w:rsid w:val="00D91331"/>
    <w:rsid w:val="00E4266D"/>
    <w:rsid w:val="00EA5EF1"/>
    <w:rsid w:val="00EE69AF"/>
    <w:rsid w:val="00F10BEA"/>
    <w:rsid w:val="00F53862"/>
    <w:rsid w:val="00FD1843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C3C8904"/>
  <w15:docId w15:val="{80E7CA7C-2665-42C4-97BB-F74E4BC4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66D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5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84A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630B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30B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30B2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3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30B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0A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A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0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3E3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4046</Words>
  <Characters>23872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Rostislav Kolmačka</dc:creator>
  <cp:keywords/>
  <dc:description/>
  <cp:lastModifiedBy>Rosta</cp:lastModifiedBy>
  <cp:revision>3</cp:revision>
  <dcterms:created xsi:type="dcterms:W3CDTF">2025-04-04T06:47:00Z</dcterms:created>
  <dcterms:modified xsi:type="dcterms:W3CDTF">2025-04-04T06:47:00Z</dcterms:modified>
</cp:coreProperties>
</file>